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3B075" w14:textId="7537405D" w:rsidR="009D3534" w:rsidRPr="00E903A3" w:rsidRDefault="009D3534" w:rsidP="009D3534">
      <w:pPr>
        <w:shd w:val="clear" w:color="auto" w:fill="FFFFFF"/>
        <w:ind w:left="1094" w:right="998"/>
        <w:jc w:val="center"/>
        <w:rPr>
          <w:rFonts w:ascii="Cambria" w:hAnsi="Cambria"/>
          <w:b/>
          <w:bCs/>
          <w:lang w:val="hu-HU"/>
        </w:rPr>
      </w:pPr>
      <w:r>
        <w:rPr>
          <w:rFonts w:ascii="Arial" w:hAnsi="Arial" w:cs="Arial"/>
          <w:b/>
          <w:sz w:val="26"/>
          <w:szCs w:val="26"/>
          <w:lang w:val="fr-FR"/>
        </w:rPr>
        <w:t xml:space="preserve">                                     </w:t>
      </w:r>
      <w:r w:rsidR="00422126" w:rsidRPr="005C70D5">
        <w:rPr>
          <w:rFonts w:ascii="Arial" w:hAnsi="Arial" w:cs="Arial"/>
          <w:b/>
          <w:sz w:val="26"/>
          <w:szCs w:val="26"/>
          <w:lang w:val="fr-FR"/>
        </w:rPr>
        <w:t xml:space="preserve">Anexa nr. 4 la </w:t>
      </w:r>
      <w:r>
        <w:rPr>
          <w:rFonts w:ascii="Cambria" w:hAnsi="Cambria" w:cs="Arial"/>
          <w:b/>
          <w:bCs/>
          <w:sz w:val="26"/>
          <w:szCs w:val="26"/>
          <w:lang w:val="fr-FR"/>
        </w:rPr>
        <w:t>H.C.L.</w:t>
      </w:r>
      <w:r>
        <w:rPr>
          <w:rFonts w:ascii="Cambria" w:hAnsi="Cambria"/>
          <w:b/>
          <w:bCs/>
          <w:lang w:val="hu-HU"/>
        </w:rPr>
        <w:t>Nr.</w:t>
      </w:r>
      <w:r w:rsidR="00F60F71">
        <w:rPr>
          <w:rFonts w:ascii="Cambria" w:hAnsi="Cambria"/>
          <w:b/>
          <w:bCs/>
          <w:lang w:val="hu-HU"/>
        </w:rPr>
        <w:t>14</w:t>
      </w:r>
      <w:bookmarkStart w:id="0" w:name="_GoBack"/>
      <w:bookmarkEnd w:id="0"/>
      <w:r>
        <w:rPr>
          <w:rFonts w:ascii="Cambria" w:hAnsi="Cambria"/>
          <w:b/>
          <w:bCs/>
          <w:lang w:val="hu-HU"/>
        </w:rPr>
        <w:t>./30.06</w:t>
      </w:r>
      <w:r w:rsidRPr="00E903A3">
        <w:rPr>
          <w:rFonts w:ascii="Cambria" w:hAnsi="Cambria"/>
          <w:b/>
          <w:bCs/>
          <w:lang w:val="hu-HU"/>
        </w:rPr>
        <w:t>.2025</w:t>
      </w:r>
    </w:p>
    <w:p w14:paraId="6076D97F" w14:textId="133AE86F" w:rsidR="00422126" w:rsidRPr="005C70D5" w:rsidRDefault="00422126" w:rsidP="00422126">
      <w:pPr>
        <w:shd w:val="clear" w:color="auto" w:fill="FFFFFF"/>
        <w:spacing w:line="360" w:lineRule="auto"/>
        <w:jc w:val="right"/>
        <w:rPr>
          <w:rFonts w:ascii="Arial" w:hAnsi="Arial" w:cs="Arial"/>
          <w:b/>
          <w:sz w:val="26"/>
          <w:szCs w:val="26"/>
          <w:lang w:val="fr-FR"/>
        </w:rPr>
      </w:pPr>
    </w:p>
    <w:p w14:paraId="199AD972" w14:textId="77777777" w:rsidR="00422126" w:rsidRPr="005C70D5" w:rsidRDefault="00422126" w:rsidP="00422126">
      <w:pPr>
        <w:spacing w:after="200" w:line="276" w:lineRule="auto"/>
        <w:rPr>
          <w:rFonts w:ascii="Arial" w:eastAsia="Calibri" w:hAnsi="Arial" w:cs="Arial"/>
          <w:b/>
          <w:bCs/>
          <w:noProof w:val="0"/>
          <w:sz w:val="26"/>
          <w:szCs w:val="26"/>
        </w:rPr>
      </w:pPr>
      <w:r w:rsidRPr="005C70D5">
        <w:rPr>
          <w:rFonts w:ascii="Arial" w:eastAsia="Calibri" w:hAnsi="Arial" w:cs="Arial"/>
          <w:b/>
          <w:bCs/>
          <w:noProof w:val="0"/>
          <w:sz w:val="26"/>
          <w:szCs w:val="26"/>
        </w:rPr>
        <w:t xml:space="preserve"> </w:t>
      </w:r>
    </w:p>
    <w:p w14:paraId="5151C248" w14:textId="6849981E" w:rsidR="00422126" w:rsidRPr="005C70D5" w:rsidRDefault="00422126" w:rsidP="00422126">
      <w:pPr>
        <w:spacing w:after="200" w:line="276" w:lineRule="auto"/>
        <w:rPr>
          <w:rFonts w:ascii="Arial" w:eastAsia="Calibri" w:hAnsi="Arial" w:cs="Arial"/>
          <w:noProof w:val="0"/>
          <w:sz w:val="28"/>
          <w:szCs w:val="28"/>
        </w:rPr>
      </w:pPr>
      <w:r w:rsidRPr="005C70D5">
        <w:rPr>
          <w:rFonts w:ascii="Arial" w:eastAsia="Calibri" w:hAnsi="Arial" w:cs="Arial"/>
          <w:b/>
          <w:bCs/>
          <w:noProof w:val="0"/>
          <w:sz w:val="28"/>
          <w:szCs w:val="28"/>
        </w:rPr>
        <w:t>Indicatorii minimi legali de performanță privind colectarea selectivă</w:t>
      </w:r>
      <w:r w:rsidRPr="005C70D5">
        <w:rPr>
          <w:rFonts w:ascii="Arial" w:eastAsia="Calibri" w:hAnsi="Arial" w:cs="Arial"/>
          <w:b/>
          <w:bCs/>
          <w:noProof w:val="0"/>
          <w:sz w:val="28"/>
          <w:szCs w:val="28"/>
        </w:rPr>
        <w:br/>
      </w:r>
    </w:p>
    <w:tbl>
      <w:tblPr>
        <w:tblW w:w="5135"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4A0" w:firstRow="1" w:lastRow="0" w:firstColumn="1" w:lastColumn="0" w:noHBand="0" w:noVBand="1"/>
      </w:tblPr>
      <w:tblGrid>
        <w:gridCol w:w="2829"/>
        <w:gridCol w:w="3813"/>
        <w:gridCol w:w="2954"/>
      </w:tblGrid>
      <w:tr w:rsidR="00422126" w:rsidRPr="005C70D5" w14:paraId="4A63AED1" w14:textId="77777777" w:rsidTr="00422126">
        <w:trPr>
          <w:tblCellSpacing w:w="0" w:type="dxa"/>
        </w:trPr>
        <w:tc>
          <w:tcPr>
            <w:tcW w:w="14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897141B" w14:textId="77777777" w:rsidR="00422126" w:rsidRPr="005C70D5" w:rsidRDefault="00422126">
            <w:pPr>
              <w:spacing w:line="276" w:lineRule="auto"/>
              <w:rPr>
                <w:rFonts w:ascii="Arial" w:eastAsia="Calibri" w:hAnsi="Arial" w:cs="Arial"/>
                <w:noProof w:val="0"/>
                <w:sz w:val="26"/>
                <w:szCs w:val="26"/>
              </w:rPr>
            </w:pPr>
            <w:r w:rsidRPr="005C70D5">
              <w:rPr>
                <w:rFonts w:ascii="Arial" w:eastAsia="Calibri" w:hAnsi="Arial" w:cs="Arial"/>
                <w:noProof w:val="0"/>
                <w:sz w:val="26"/>
                <w:szCs w:val="26"/>
              </w:rPr>
              <w:t>Activitatea serviciului de salubrizare</w:t>
            </w:r>
          </w:p>
        </w:tc>
        <w:tc>
          <w:tcPr>
            <w:tcW w:w="198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6EB2261" w14:textId="77777777" w:rsidR="00422126" w:rsidRPr="005C70D5" w:rsidRDefault="00422126">
            <w:pPr>
              <w:spacing w:line="276" w:lineRule="auto"/>
              <w:rPr>
                <w:rFonts w:ascii="Arial" w:eastAsia="Calibri" w:hAnsi="Arial" w:cs="Arial"/>
                <w:noProof w:val="0"/>
                <w:sz w:val="26"/>
                <w:szCs w:val="26"/>
              </w:rPr>
            </w:pPr>
            <w:r w:rsidRPr="005C70D5">
              <w:rPr>
                <w:rFonts w:ascii="Arial" w:eastAsia="Calibri" w:hAnsi="Arial" w:cs="Arial"/>
                <w:noProof w:val="0"/>
                <w:sz w:val="26"/>
                <w:szCs w:val="26"/>
              </w:rPr>
              <w:t>Descrierea indicatorului</w:t>
            </w:r>
          </w:p>
        </w:tc>
        <w:tc>
          <w:tcPr>
            <w:tcW w:w="15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592C385" w14:textId="77777777" w:rsidR="00422126" w:rsidRPr="005C70D5" w:rsidRDefault="00422126">
            <w:pPr>
              <w:spacing w:line="276" w:lineRule="auto"/>
              <w:rPr>
                <w:rFonts w:ascii="Arial" w:eastAsia="Calibri" w:hAnsi="Arial" w:cs="Arial"/>
                <w:noProof w:val="0"/>
                <w:sz w:val="26"/>
                <w:szCs w:val="26"/>
              </w:rPr>
            </w:pPr>
            <w:r w:rsidRPr="005C70D5">
              <w:rPr>
                <w:rFonts w:ascii="Arial" w:eastAsia="Calibri" w:hAnsi="Arial" w:cs="Arial"/>
                <w:noProof w:val="0"/>
                <w:sz w:val="26"/>
                <w:szCs w:val="26"/>
              </w:rPr>
              <w:t>Valoarea minima a indicatorului</w:t>
            </w:r>
          </w:p>
        </w:tc>
      </w:tr>
      <w:tr w:rsidR="00422126" w:rsidRPr="005C70D5" w14:paraId="1307EA38" w14:textId="77777777" w:rsidTr="00422126">
        <w:trPr>
          <w:tblCellSpacing w:w="0" w:type="dxa"/>
        </w:trPr>
        <w:tc>
          <w:tcPr>
            <w:tcW w:w="14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D36582C" w14:textId="6CF342A3"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t xml:space="preserve">Colectarea separată a deseurilor municipale prevazute la art. 17 alin. (5) lit. a) din OUG nr.92/2021 privind regimul deșeurilor </w:t>
            </w:r>
          </w:p>
        </w:tc>
        <w:tc>
          <w:tcPr>
            <w:tcW w:w="198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99E846" w14:textId="77777777"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t>Cantitatea de deseuri de hârtie, metal, plastic si sticla din deseurile municipale, colectate separat, ca procentaj din cantitatea totala generata de deseuri de hârtie, metal, plastic si sticla din deseurile municipale.</w:t>
            </w:r>
          </w:p>
          <w:p w14:paraId="5B1E4C3D" w14:textId="77777777"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br/>
              <w:t>Cantitatea de deseuri de hârtie, metal, plastic si sticla din deseurile municipale colectate separat reprezinta cantitatea acceptata într-un an calendaristic de catre statia/statiile de sortare.</w:t>
            </w:r>
            <w:r w:rsidRPr="005C70D5">
              <w:rPr>
                <w:rFonts w:ascii="Arial" w:eastAsia="Calibri" w:hAnsi="Arial" w:cs="Arial"/>
                <w:noProof w:val="0"/>
                <w:sz w:val="26"/>
                <w:szCs w:val="26"/>
              </w:rPr>
              <w:br/>
              <w:t>Cantitatea totala generata de deseuri de hârtie, metal, plastic si sticla din deseurile municipale se calculeaza pe baza determinarilor de compozitie realizate de catre operatorul regional de salubrizare.</w:t>
            </w:r>
          </w:p>
          <w:p w14:paraId="58E17E6D" w14:textId="2270C410"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br/>
              <w:t xml:space="preserve">În lipsa determinarilor de compozitie a deseurilor municipale, cantitatea de deseuri de hârtie, metal, plastic si sticla </w:t>
            </w:r>
            <w:r w:rsidRPr="005C70D5">
              <w:rPr>
                <w:rFonts w:ascii="Arial" w:eastAsia="Calibri" w:hAnsi="Arial" w:cs="Arial"/>
                <w:noProof w:val="0"/>
                <w:sz w:val="26"/>
                <w:szCs w:val="26"/>
              </w:rPr>
              <w:lastRenderedPageBreak/>
              <w:t>din deseurile municipale se considera a fi 33%.</w:t>
            </w:r>
          </w:p>
        </w:tc>
        <w:tc>
          <w:tcPr>
            <w:tcW w:w="15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DBC11E8" w14:textId="6F49F9B9" w:rsidR="00422126" w:rsidRPr="005C70D5" w:rsidRDefault="00422126">
            <w:pPr>
              <w:spacing w:line="276" w:lineRule="auto"/>
              <w:rPr>
                <w:rFonts w:ascii="Arial" w:eastAsia="Calibri" w:hAnsi="Arial" w:cs="Arial"/>
                <w:noProof w:val="0"/>
                <w:sz w:val="26"/>
                <w:szCs w:val="26"/>
              </w:rPr>
            </w:pPr>
            <w:r w:rsidRPr="005C70D5">
              <w:rPr>
                <w:rFonts w:ascii="Arial" w:eastAsia="Calibri" w:hAnsi="Arial" w:cs="Arial"/>
                <w:noProof w:val="0"/>
                <w:sz w:val="26"/>
                <w:szCs w:val="26"/>
              </w:rPr>
              <w:lastRenderedPageBreak/>
              <w:br/>
            </w:r>
            <w:r w:rsidR="009B0C82" w:rsidRPr="005C70D5">
              <w:rPr>
                <w:rFonts w:ascii="Arial" w:eastAsia="Calibri" w:hAnsi="Arial" w:cs="Arial"/>
                <w:noProof w:val="0"/>
                <w:sz w:val="26"/>
                <w:szCs w:val="26"/>
              </w:rPr>
              <w:t xml:space="preserve">        </w:t>
            </w:r>
            <w:r w:rsidRPr="005C70D5">
              <w:rPr>
                <w:rFonts w:ascii="Arial" w:eastAsia="Calibri" w:hAnsi="Arial" w:cs="Arial"/>
                <w:noProof w:val="0"/>
                <w:sz w:val="26"/>
                <w:szCs w:val="26"/>
              </w:rPr>
              <w:t xml:space="preserve">70% </w:t>
            </w:r>
          </w:p>
        </w:tc>
      </w:tr>
      <w:tr w:rsidR="00422126" w:rsidRPr="005C70D5" w14:paraId="00991AC1" w14:textId="77777777" w:rsidTr="00422126">
        <w:trPr>
          <w:tblCellSpacing w:w="0" w:type="dxa"/>
        </w:trPr>
        <w:tc>
          <w:tcPr>
            <w:tcW w:w="14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1B12044" w14:textId="77777777"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t>Colectarea si transportul deseurilor provenite din locuinte, generate de activitati de reamenajare si reabilitare interioara si/sau exterioara a acestora.</w:t>
            </w:r>
          </w:p>
        </w:tc>
        <w:tc>
          <w:tcPr>
            <w:tcW w:w="198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32F93D6" w14:textId="77777777"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t>Cantitatea totala de deseuri provenite din locuinte, generate de activitati de reamenajare si reabilitare interioara si/sau exterioara a acestora, predata pentru reutilizare, reciclare si alte operatiuni de valorificare materiala, inclusiv operatiuni de umplere, rambleiere, direct sau prin intermediul unei statii de transfer ca procentaj din cantitatea de deseuri provenite din locuinte, generate de activitati de reamenajare si reabilitare interioara si/sau exterioara a acestora colectate (%).</w:t>
            </w:r>
          </w:p>
          <w:p w14:paraId="03476F5C" w14:textId="345FA35E" w:rsidR="00422126" w:rsidRPr="005C70D5" w:rsidRDefault="00422126">
            <w:pPr>
              <w:spacing w:line="276" w:lineRule="auto"/>
              <w:jc w:val="both"/>
              <w:rPr>
                <w:rFonts w:ascii="Arial" w:eastAsia="Calibri" w:hAnsi="Arial" w:cs="Arial"/>
                <w:noProof w:val="0"/>
                <w:sz w:val="26"/>
                <w:szCs w:val="26"/>
              </w:rPr>
            </w:pPr>
          </w:p>
        </w:tc>
        <w:tc>
          <w:tcPr>
            <w:tcW w:w="15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687BE36" w14:textId="232C3336" w:rsidR="00422126" w:rsidRPr="005C70D5" w:rsidRDefault="00422126">
            <w:pPr>
              <w:spacing w:line="276" w:lineRule="auto"/>
              <w:jc w:val="both"/>
              <w:rPr>
                <w:rFonts w:ascii="Arial" w:eastAsia="Calibri" w:hAnsi="Arial" w:cs="Arial"/>
                <w:noProof w:val="0"/>
                <w:sz w:val="26"/>
                <w:szCs w:val="26"/>
              </w:rPr>
            </w:pPr>
            <w:r w:rsidRPr="005C70D5">
              <w:rPr>
                <w:rFonts w:ascii="Arial" w:eastAsia="Calibri" w:hAnsi="Arial" w:cs="Arial"/>
                <w:noProof w:val="0"/>
                <w:sz w:val="26"/>
                <w:szCs w:val="26"/>
              </w:rPr>
              <w:t>Valoarea prevăzută la art. 17 alin. (7) din OUG nr.92/2021 privind regimul deșeurilor</w:t>
            </w:r>
          </w:p>
        </w:tc>
      </w:tr>
    </w:tbl>
    <w:p w14:paraId="0CA40F45" w14:textId="77777777" w:rsidR="00422126" w:rsidRPr="005C70D5" w:rsidRDefault="00422126" w:rsidP="00422126">
      <w:pPr>
        <w:rPr>
          <w:rFonts w:ascii="Arial" w:hAnsi="Arial" w:cs="Arial"/>
          <w:sz w:val="26"/>
          <w:szCs w:val="26"/>
          <w:lang w:val="en-US"/>
        </w:rPr>
      </w:pPr>
    </w:p>
    <w:p w14:paraId="37A855B3" w14:textId="77777777" w:rsidR="009B0C82" w:rsidRPr="005C70D5" w:rsidRDefault="009B0C82" w:rsidP="00422126">
      <w:pPr>
        <w:rPr>
          <w:rFonts w:ascii="Arial" w:hAnsi="Arial" w:cs="Arial"/>
          <w:sz w:val="26"/>
          <w:szCs w:val="26"/>
          <w:lang w:val="en-US"/>
        </w:rPr>
      </w:pPr>
    </w:p>
    <w:p w14:paraId="011A319F" w14:textId="77777777" w:rsidR="005C70D5" w:rsidRPr="005C70D5" w:rsidRDefault="005C70D5" w:rsidP="005C70D5">
      <w:pPr>
        <w:jc w:val="center"/>
        <w:rPr>
          <w:rFonts w:ascii="Arial" w:hAnsi="Arial" w:cs="Arial"/>
          <w:b/>
          <w:sz w:val="26"/>
          <w:szCs w:val="26"/>
          <w:lang w:val="it-IT"/>
        </w:rPr>
      </w:pPr>
      <w:r w:rsidRPr="005C70D5">
        <w:rPr>
          <w:rFonts w:ascii="Arial" w:hAnsi="Arial" w:cs="Arial"/>
          <w:b/>
          <w:sz w:val="26"/>
          <w:szCs w:val="26"/>
          <w:lang w:val="it-IT"/>
        </w:rPr>
        <w:t>Delegatar,</w:t>
      </w:r>
    </w:p>
    <w:p w14:paraId="64EE40E7" w14:textId="00A9EA00" w:rsidR="005C70D5" w:rsidRPr="005C70D5" w:rsidRDefault="005C70D5" w:rsidP="005C70D5">
      <w:pPr>
        <w:jc w:val="center"/>
        <w:rPr>
          <w:rFonts w:ascii="Arial" w:hAnsi="Arial" w:cs="Arial"/>
          <w:b/>
          <w:sz w:val="26"/>
          <w:szCs w:val="26"/>
          <w:lang w:val="it-IT"/>
        </w:rPr>
      </w:pPr>
      <w:r w:rsidRPr="005C70D5">
        <w:rPr>
          <w:rFonts w:ascii="Arial" w:hAnsi="Arial" w:cs="Arial"/>
          <w:b/>
          <w:sz w:val="26"/>
          <w:szCs w:val="26"/>
          <w:lang w:val="it-IT"/>
        </w:rPr>
        <w:t xml:space="preserve">Comuna </w:t>
      </w:r>
      <w:r w:rsidR="006F5DF3">
        <w:rPr>
          <w:rFonts w:ascii="Arial" w:hAnsi="Arial" w:cs="Arial"/>
          <w:b/>
          <w:sz w:val="26"/>
          <w:szCs w:val="26"/>
          <w:lang w:val="it-IT"/>
        </w:rPr>
        <w:t>Agriș</w:t>
      </w:r>
    </w:p>
    <w:p w14:paraId="233CDB34" w14:textId="77777777" w:rsidR="005C70D5" w:rsidRPr="005C70D5" w:rsidRDefault="005C70D5" w:rsidP="005C70D5">
      <w:pPr>
        <w:jc w:val="center"/>
        <w:rPr>
          <w:rFonts w:ascii="Arial" w:hAnsi="Arial" w:cs="Arial"/>
          <w:b/>
          <w:sz w:val="26"/>
          <w:szCs w:val="26"/>
          <w:lang w:val="it-IT"/>
        </w:rPr>
      </w:pPr>
      <w:r w:rsidRPr="005C70D5">
        <w:rPr>
          <w:rFonts w:ascii="Arial" w:hAnsi="Arial" w:cs="Arial"/>
          <w:b/>
          <w:sz w:val="26"/>
          <w:szCs w:val="26"/>
          <w:lang w:val="it-IT"/>
        </w:rPr>
        <w:t>Primar</w:t>
      </w:r>
    </w:p>
    <w:p w14:paraId="030E096C" w14:textId="49EA1657" w:rsidR="009B0C82" w:rsidRPr="00080C2F" w:rsidRDefault="005C70D5" w:rsidP="00080C2F">
      <w:pPr>
        <w:jc w:val="center"/>
        <w:rPr>
          <w:rFonts w:ascii="Arial" w:hAnsi="Arial" w:cs="Arial"/>
          <w:b/>
          <w:bCs/>
          <w:sz w:val="26"/>
          <w:szCs w:val="26"/>
          <w:lang w:val="en-US"/>
        </w:rPr>
      </w:pPr>
      <w:r w:rsidRPr="007C1DB0">
        <w:rPr>
          <w:rFonts w:ascii="Arial" w:hAnsi="Arial" w:cs="Arial"/>
          <w:b/>
          <w:bCs/>
          <w:sz w:val="26"/>
          <w:szCs w:val="26"/>
          <w:lang w:val="en-US"/>
        </w:rPr>
        <w:t>...............................</w:t>
      </w:r>
    </w:p>
    <w:p w14:paraId="368ED1CB" w14:textId="77777777" w:rsidR="009B0C82" w:rsidRPr="005C70D5" w:rsidRDefault="009B0C82" w:rsidP="00422126">
      <w:pPr>
        <w:rPr>
          <w:rFonts w:ascii="Arial" w:hAnsi="Arial" w:cs="Arial"/>
          <w:sz w:val="26"/>
          <w:szCs w:val="26"/>
          <w:lang w:val="en-US"/>
        </w:rPr>
      </w:pPr>
    </w:p>
    <w:p w14:paraId="25C334B8" w14:textId="77777777" w:rsidR="006F5DF3" w:rsidRDefault="006F5DF3" w:rsidP="006F5DF3">
      <w:pPr>
        <w:spacing w:before="240" w:after="60" w:line="360" w:lineRule="auto"/>
        <w:ind w:firstLine="708"/>
        <w:outlineLvl w:val="1"/>
        <w:rPr>
          <w:rFonts w:ascii="Arial" w:hAnsi="Arial" w:cs="Arial"/>
          <w:i/>
          <w:iCs/>
          <w:noProof w:val="0"/>
          <w:sz w:val="26"/>
          <w:szCs w:val="26"/>
          <w:lang w:val="en-US"/>
        </w:rPr>
      </w:pPr>
      <w:r>
        <w:rPr>
          <w:rFonts w:ascii="Arial" w:hAnsi="Arial" w:cs="Arial"/>
          <w:i/>
          <w:iCs/>
          <w:sz w:val="26"/>
          <w:szCs w:val="26"/>
        </w:rPr>
        <w:t>AGRIȘ, la ___________2025</w:t>
      </w:r>
    </w:p>
    <w:p w14:paraId="4CCA472B" w14:textId="77777777" w:rsidR="006F5DF3" w:rsidRDefault="006F5DF3" w:rsidP="006F5DF3">
      <w:pPr>
        <w:spacing w:line="360" w:lineRule="auto"/>
        <w:ind w:firstLine="720"/>
        <w:rPr>
          <w:rFonts w:ascii="Arial" w:hAnsi="Arial" w:cs="Arial"/>
          <w:b/>
          <w:bCs/>
          <w:sz w:val="26"/>
          <w:szCs w:val="26"/>
        </w:rPr>
      </w:pPr>
    </w:p>
    <w:p w14:paraId="0D063075" w14:textId="77777777" w:rsidR="009D3534" w:rsidRDefault="009D3534" w:rsidP="009D3534">
      <w:pPr>
        <w:tabs>
          <w:tab w:val="left" w:pos="709"/>
        </w:tabs>
        <w:jc w:val="center"/>
        <w:rPr>
          <w:rFonts w:ascii="Cambria" w:hAnsi="Cambria"/>
          <w:lang w:val="en-US"/>
        </w:rPr>
      </w:pPr>
      <w:r>
        <w:rPr>
          <w:rFonts w:ascii="Cambria" w:hAnsi="Cambria"/>
          <w:lang w:val="en-US"/>
        </w:rPr>
        <w:t xml:space="preserve">                                                                                         Agriș, la 30.06.2025</w:t>
      </w:r>
    </w:p>
    <w:p w14:paraId="77AC225B" w14:textId="77777777" w:rsidR="009D3534" w:rsidRDefault="009D3534" w:rsidP="009D3534">
      <w:pPr>
        <w:tabs>
          <w:tab w:val="left" w:pos="709"/>
        </w:tabs>
        <w:jc w:val="center"/>
        <w:rPr>
          <w:rFonts w:ascii="Cambria" w:hAnsi="Cambria"/>
          <w:lang w:val="en-US"/>
        </w:rPr>
      </w:pPr>
    </w:p>
    <w:p w14:paraId="21AEE297" w14:textId="77777777" w:rsidR="009D3534" w:rsidRDefault="009D3534" w:rsidP="009D3534">
      <w:pPr>
        <w:tabs>
          <w:tab w:val="left" w:pos="709"/>
        </w:tabs>
        <w:jc w:val="center"/>
        <w:rPr>
          <w:rFonts w:ascii="Cambria" w:hAnsi="Cambria"/>
          <w:noProof w:val="0"/>
          <w:lang w:val="en-US"/>
        </w:rPr>
      </w:pPr>
    </w:p>
    <w:p w14:paraId="417DBE30" w14:textId="4ADDC7FD" w:rsidR="009D3534" w:rsidRDefault="009D3534" w:rsidP="009D3534">
      <w:pPr>
        <w:tabs>
          <w:tab w:val="left" w:pos="709"/>
        </w:tabs>
        <w:rPr>
          <w:rFonts w:ascii="Cambria" w:hAnsi="Cambria"/>
          <w:lang w:val="en-US"/>
        </w:rPr>
      </w:pPr>
      <w:r>
        <w:rPr>
          <w:rFonts w:ascii="Cambria" w:hAnsi="Cambria"/>
          <w:lang w:val="en-US"/>
        </w:rPr>
        <w:t xml:space="preserve">      Președinte de ședință</w:t>
      </w:r>
      <w:r>
        <w:rPr>
          <w:rFonts w:ascii="Cambria" w:hAnsi="Cambria"/>
          <w:lang w:val="en-US"/>
        </w:rPr>
        <w:tab/>
        <w:t xml:space="preserve">                                                          Contrasemnează  </w:t>
      </w:r>
    </w:p>
    <w:p w14:paraId="0FF60E6F" w14:textId="478B6CE7" w:rsidR="009D3534" w:rsidRDefault="009D3534" w:rsidP="009D3534">
      <w:pPr>
        <w:tabs>
          <w:tab w:val="left" w:pos="491"/>
          <w:tab w:val="left" w:pos="709"/>
          <w:tab w:val="left" w:pos="6156"/>
        </w:tabs>
        <w:spacing w:after="200" w:line="276" w:lineRule="auto"/>
        <w:rPr>
          <w:rFonts w:ascii="Cambria" w:hAnsi="Cambria"/>
          <w:sz w:val="28"/>
          <w:szCs w:val="28"/>
          <w:lang w:val="en-US"/>
        </w:rPr>
      </w:pPr>
      <w:r>
        <w:rPr>
          <w:rFonts w:ascii="Cambria" w:hAnsi="Cambria"/>
          <w:lang w:val="en-US"/>
        </w:rPr>
        <w:t xml:space="preserve">                Docsa Gabor                                   Secretar general cu exercitare cu caracter temporar </w:t>
      </w:r>
      <w:r>
        <w:rPr>
          <w:rFonts w:ascii="Cambria" w:hAnsi="Cambria"/>
          <w:lang w:val="en-US"/>
        </w:rPr>
        <w:tab/>
        <w:t xml:space="preserve">                                                                                                                   </w:t>
      </w:r>
    </w:p>
    <w:p w14:paraId="4175AA89" w14:textId="04F2309A" w:rsidR="009B0C82" w:rsidRPr="009D3534" w:rsidRDefault="009D3534" w:rsidP="009D3534">
      <w:pPr>
        <w:tabs>
          <w:tab w:val="left" w:pos="491"/>
          <w:tab w:val="left" w:pos="709"/>
          <w:tab w:val="left" w:pos="6156"/>
        </w:tabs>
        <w:spacing w:after="200" w:line="276" w:lineRule="auto"/>
        <w:rPr>
          <w:rFonts w:ascii="Cambria" w:hAnsi="Cambria"/>
          <w:lang w:val="en-US"/>
        </w:rPr>
      </w:pPr>
      <w:r>
        <w:rPr>
          <w:rFonts w:ascii="Cambria" w:hAnsi="Cambria"/>
          <w:lang w:val="en-US"/>
        </w:rPr>
        <w:t xml:space="preserve">                                                                                                                 Csorba Levente</w:t>
      </w:r>
    </w:p>
    <w:sectPr w:rsidR="009B0C82" w:rsidRPr="009D353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E9BA2" w14:textId="77777777" w:rsidR="00BE6C35" w:rsidRDefault="00BE6C35" w:rsidP="00080C2F">
      <w:r>
        <w:separator/>
      </w:r>
    </w:p>
  </w:endnote>
  <w:endnote w:type="continuationSeparator" w:id="0">
    <w:p w14:paraId="5A506490" w14:textId="77777777" w:rsidR="00BE6C35" w:rsidRDefault="00BE6C35" w:rsidP="0008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544342696"/>
      <w:docPartObj>
        <w:docPartGallery w:val="Page Numbers (Bottom of Page)"/>
        <w:docPartUnique/>
      </w:docPartObj>
    </w:sdtPr>
    <w:sdtEndPr>
      <w:rPr>
        <w:noProof/>
      </w:rPr>
    </w:sdtEndPr>
    <w:sdtContent>
      <w:p w14:paraId="23452DE4" w14:textId="4B98C396" w:rsidR="00080C2F" w:rsidRDefault="00080C2F">
        <w:pPr>
          <w:pStyle w:val="Footer"/>
          <w:jc w:val="center"/>
        </w:pPr>
        <w:r>
          <w:rPr>
            <w:noProof w:val="0"/>
          </w:rPr>
          <w:fldChar w:fldCharType="begin"/>
        </w:r>
        <w:r>
          <w:instrText xml:space="preserve"> PAGE   \* MERGEFORMAT </w:instrText>
        </w:r>
        <w:r>
          <w:rPr>
            <w:noProof w:val="0"/>
          </w:rPr>
          <w:fldChar w:fldCharType="separate"/>
        </w:r>
        <w:r w:rsidR="00F60F71">
          <w:t>2</w:t>
        </w:r>
        <w:r>
          <w:fldChar w:fldCharType="end"/>
        </w:r>
      </w:p>
    </w:sdtContent>
  </w:sdt>
  <w:p w14:paraId="7E660CD6" w14:textId="77777777" w:rsidR="00080C2F" w:rsidRDefault="00080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7873E" w14:textId="77777777" w:rsidR="00BE6C35" w:rsidRDefault="00BE6C35" w:rsidP="00080C2F">
      <w:r>
        <w:separator/>
      </w:r>
    </w:p>
  </w:footnote>
  <w:footnote w:type="continuationSeparator" w:id="0">
    <w:p w14:paraId="1D359675" w14:textId="77777777" w:rsidR="00BE6C35" w:rsidRDefault="00BE6C35" w:rsidP="00080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62ACC"/>
    <w:multiLevelType w:val="hybridMultilevel"/>
    <w:tmpl w:val="2F3EDDA0"/>
    <w:lvl w:ilvl="0" w:tplc="D756A6E2">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26"/>
    <w:rsid w:val="00005CAA"/>
    <w:rsid w:val="00007B40"/>
    <w:rsid w:val="00080C2F"/>
    <w:rsid w:val="000D414E"/>
    <w:rsid w:val="00161C44"/>
    <w:rsid w:val="001F1682"/>
    <w:rsid w:val="0024463A"/>
    <w:rsid w:val="002E7B57"/>
    <w:rsid w:val="00332F3E"/>
    <w:rsid w:val="00422126"/>
    <w:rsid w:val="004543BF"/>
    <w:rsid w:val="005C70D5"/>
    <w:rsid w:val="00632676"/>
    <w:rsid w:val="006E20BB"/>
    <w:rsid w:val="006F5DF3"/>
    <w:rsid w:val="007C1DB0"/>
    <w:rsid w:val="009B0C82"/>
    <w:rsid w:val="009B3D08"/>
    <w:rsid w:val="009D3534"/>
    <w:rsid w:val="00A02499"/>
    <w:rsid w:val="00BE6C35"/>
    <w:rsid w:val="00D92A01"/>
    <w:rsid w:val="00DC0D70"/>
    <w:rsid w:val="00F31C3D"/>
    <w:rsid w:val="00F60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1A65"/>
  <w15:chartTrackingRefBased/>
  <w15:docId w15:val="{CFA90C21-970C-4361-A8CD-FA23AD32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126"/>
    <w:pPr>
      <w:spacing w:line="240" w:lineRule="auto"/>
      <w:jc w:val="left"/>
    </w:pPr>
    <w:rPr>
      <w:rFonts w:ascii="Times New Roman" w:eastAsia="Times New Roman" w:hAnsi="Times New Roman" w:cs="Times New Roman"/>
      <w:noProof/>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C2F"/>
    <w:pPr>
      <w:spacing w:before="100" w:beforeAutospacing="1" w:after="100" w:afterAutospacing="1"/>
    </w:pPr>
    <w:rPr>
      <w:noProof w:val="0"/>
      <w:lang w:val="en-US"/>
    </w:rPr>
  </w:style>
  <w:style w:type="paragraph" w:styleId="Header">
    <w:name w:val="header"/>
    <w:basedOn w:val="Normal"/>
    <w:link w:val="HeaderChar"/>
    <w:uiPriority w:val="99"/>
    <w:unhideWhenUsed/>
    <w:rsid w:val="00080C2F"/>
    <w:pPr>
      <w:tabs>
        <w:tab w:val="center" w:pos="4680"/>
        <w:tab w:val="right" w:pos="9360"/>
      </w:tabs>
    </w:pPr>
  </w:style>
  <w:style w:type="character" w:customStyle="1" w:styleId="HeaderChar">
    <w:name w:val="Header Char"/>
    <w:basedOn w:val="DefaultParagraphFont"/>
    <w:link w:val="Header"/>
    <w:uiPriority w:val="99"/>
    <w:rsid w:val="00080C2F"/>
    <w:rPr>
      <w:rFonts w:ascii="Times New Roman" w:eastAsia="Times New Roman" w:hAnsi="Times New Roman" w:cs="Times New Roman"/>
      <w:noProof/>
      <w:kern w:val="0"/>
      <w:sz w:val="24"/>
      <w:szCs w:val="24"/>
      <w:lang w:val="ro-RO"/>
      <w14:ligatures w14:val="none"/>
    </w:rPr>
  </w:style>
  <w:style w:type="paragraph" w:styleId="Footer">
    <w:name w:val="footer"/>
    <w:basedOn w:val="Normal"/>
    <w:link w:val="FooterChar"/>
    <w:uiPriority w:val="99"/>
    <w:unhideWhenUsed/>
    <w:rsid w:val="00080C2F"/>
    <w:pPr>
      <w:tabs>
        <w:tab w:val="center" w:pos="4680"/>
        <w:tab w:val="right" w:pos="9360"/>
      </w:tabs>
    </w:pPr>
  </w:style>
  <w:style w:type="character" w:customStyle="1" w:styleId="FooterChar">
    <w:name w:val="Footer Char"/>
    <w:basedOn w:val="DefaultParagraphFont"/>
    <w:link w:val="Footer"/>
    <w:uiPriority w:val="99"/>
    <w:rsid w:val="00080C2F"/>
    <w:rPr>
      <w:rFonts w:ascii="Times New Roman" w:eastAsia="Times New Roman" w:hAnsi="Times New Roman" w:cs="Times New Roman"/>
      <w:noProof/>
      <w:kern w:val="0"/>
      <w:sz w:val="24"/>
      <w:szCs w:val="24"/>
      <w:lang w:val="ro-RO"/>
      <w14:ligatures w14:val="none"/>
    </w:rPr>
  </w:style>
  <w:style w:type="paragraph" w:styleId="BalloonText">
    <w:name w:val="Balloon Text"/>
    <w:basedOn w:val="Normal"/>
    <w:link w:val="BalloonTextChar"/>
    <w:uiPriority w:val="99"/>
    <w:semiHidden/>
    <w:unhideWhenUsed/>
    <w:rsid w:val="00F60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71"/>
    <w:rPr>
      <w:rFonts w:ascii="Segoe UI" w:eastAsia="Times New Roman" w:hAnsi="Segoe UI" w:cs="Segoe UI"/>
      <w:noProof/>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8787">
      <w:bodyDiv w:val="1"/>
      <w:marLeft w:val="0"/>
      <w:marRight w:val="0"/>
      <w:marTop w:val="0"/>
      <w:marBottom w:val="0"/>
      <w:divBdr>
        <w:top w:val="none" w:sz="0" w:space="0" w:color="auto"/>
        <w:left w:val="none" w:sz="0" w:space="0" w:color="auto"/>
        <w:bottom w:val="none" w:sz="0" w:space="0" w:color="auto"/>
        <w:right w:val="none" w:sz="0" w:space="0" w:color="auto"/>
      </w:divBdr>
    </w:div>
    <w:div w:id="229997821">
      <w:bodyDiv w:val="1"/>
      <w:marLeft w:val="0"/>
      <w:marRight w:val="0"/>
      <w:marTop w:val="0"/>
      <w:marBottom w:val="0"/>
      <w:divBdr>
        <w:top w:val="none" w:sz="0" w:space="0" w:color="auto"/>
        <w:left w:val="none" w:sz="0" w:space="0" w:color="auto"/>
        <w:bottom w:val="none" w:sz="0" w:space="0" w:color="auto"/>
        <w:right w:val="none" w:sz="0" w:space="0" w:color="auto"/>
      </w:divBdr>
    </w:div>
    <w:div w:id="491802574">
      <w:bodyDiv w:val="1"/>
      <w:marLeft w:val="0"/>
      <w:marRight w:val="0"/>
      <w:marTop w:val="0"/>
      <w:marBottom w:val="0"/>
      <w:divBdr>
        <w:top w:val="none" w:sz="0" w:space="0" w:color="auto"/>
        <w:left w:val="none" w:sz="0" w:space="0" w:color="auto"/>
        <w:bottom w:val="none" w:sz="0" w:space="0" w:color="auto"/>
        <w:right w:val="none" w:sz="0" w:space="0" w:color="auto"/>
      </w:divBdr>
    </w:div>
    <w:div w:id="1039167949">
      <w:bodyDiv w:val="1"/>
      <w:marLeft w:val="0"/>
      <w:marRight w:val="0"/>
      <w:marTop w:val="0"/>
      <w:marBottom w:val="0"/>
      <w:divBdr>
        <w:top w:val="none" w:sz="0" w:space="0" w:color="auto"/>
        <w:left w:val="none" w:sz="0" w:space="0" w:color="auto"/>
        <w:bottom w:val="none" w:sz="0" w:space="0" w:color="auto"/>
        <w:right w:val="none" w:sz="0" w:space="0" w:color="auto"/>
      </w:divBdr>
    </w:div>
    <w:div w:id="17935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96E7F-5BC3-491F-81ED-8F8F26AE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 deseuri</dc:creator>
  <cp:keywords/>
  <dc:description/>
  <cp:lastModifiedBy>Adm</cp:lastModifiedBy>
  <cp:revision>11</cp:revision>
  <cp:lastPrinted>2025-07-09T09:55:00Z</cp:lastPrinted>
  <dcterms:created xsi:type="dcterms:W3CDTF">2025-06-12T11:54:00Z</dcterms:created>
  <dcterms:modified xsi:type="dcterms:W3CDTF">2025-07-09T09:56:00Z</dcterms:modified>
</cp:coreProperties>
</file>