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C7560" w14:textId="77777777" w:rsidR="00100E4B" w:rsidRPr="0058231C" w:rsidRDefault="00100E4B" w:rsidP="00645EC7">
      <w:pPr>
        <w:tabs>
          <w:tab w:val="left" w:pos="709"/>
        </w:tabs>
        <w:spacing w:after="0" w:line="240" w:lineRule="auto"/>
        <w:jc w:val="both"/>
        <w:rPr>
          <w:rFonts w:asciiTheme="majorHAnsi" w:eastAsia="Calibri" w:hAnsiTheme="majorHAnsi" w:cs="Arial"/>
          <w:sz w:val="26"/>
          <w:szCs w:val="26"/>
        </w:rPr>
      </w:pPr>
    </w:p>
    <w:p w14:paraId="201641DD" w14:textId="71A5790F" w:rsidR="0058231C" w:rsidRPr="0058231C" w:rsidRDefault="0058231C" w:rsidP="0058231C">
      <w:pPr>
        <w:spacing w:line="360" w:lineRule="auto"/>
        <w:ind w:left="-450" w:right="1216" w:firstLine="720"/>
        <w:rPr>
          <w:rFonts w:asciiTheme="majorHAnsi" w:eastAsia="Calibri" w:hAnsiTheme="majorHAnsi" w:cs="Arial"/>
          <w:b/>
          <w:sz w:val="26"/>
          <w:szCs w:val="26"/>
        </w:rPr>
      </w:pPr>
      <w:r w:rsidRPr="0058231C">
        <w:rPr>
          <w:rFonts w:asciiTheme="majorHAnsi" w:eastAsia="Times New Roman" w:hAnsiTheme="majorHAnsi"/>
          <w:noProof/>
          <w:sz w:val="24"/>
          <w:szCs w:val="24"/>
          <w:lang w:val="en-US"/>
        </w:rPr>
        <w:drawing>
          <wp:inline distT="0" distB="0" distL="0" distR="0" wp14:anchorId="4D1637AD" wp14:editId="26917BF7">
            <wp:extent cx="6018530" cy="2026920"/>
            <wp:effectExtent l="0" t="0" r="1270" b="0"/>
            <wp:docPr id="2" name="Picture 2" descr="C:\Users\Secretar\Desktop\new antet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\Desktop\new antet 20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53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231C">
        <w:rPr>
          <w:rFonts w:asciiTheme="majorHAnsi" w:hAnsiTheme="majorHAnsi" w:cs="Arial"/>
          <w:b/>
          <w:sz w:val="24"/>
          <w:szCs w:val="24"/>
        </w:rPr>
        <w:t xml:space="preserve">                Nr. </w:t>
      </w:r>
      <w:r>
        <w:rPr>
          <w:rFonts w:asciiTheme="majorHAnsi" w:hAnsiTheme="majorHAnsi" w:cs="Arial"/>
          <w:b/>
          <w:sz w:val="24"/>
          <w:szCs w:val="24"/>
        </w:rPr>
        <w:t>2449</w:t>
      </w:r>
      <w:r w:rsidRPr="0058231C">
        <w:rPr>
          <w:rFonts w:asciiTheme="majorHAnsi" w:hAnsiTheme="majorHAnsi" w:cs="Arial"/>
          <w:b/>
          <w:sz w:val="24"/>
          <w:szCs w:val="24"/>
        </w:rPr>
        <w:t xml:space="preserve"> /20.06.2025 </w:t>
      </w:r>
      <w:r w:rsidRPr="0058231C">
        <w:rPr>
          <w:rFonts w:asciiTheme="majorHAnsi" w:hAnsiTheme="majorHAnsi" w:cs="Arial"/>
          <w:b/>
          <w:sz w:val="24"/>
          <w:szCs w:val="24"/>
        </w:rPr>
        <w:tab/>
      </w:r>
    </w:p>
    <w:p w14:paraId="7A05D701" w14:textId="77777777" w:rsidR="0058231C" w:rsidRPr="0058231C" w:rsidRDefault="0058231C" w:rsidP="00645EC7">
      <w:pPr>
        <w:spacing w:line="360" w:lineRule="auto"/>
        <w:ind w:left="2160" w:firstLine="720"/>
        <w:rPr>
          <w:rFonts w:asciiTheme="majorHAnsi" w:eastAsia="Calibri" w:hAnsiTheme="majorHAnsi" w:cs="Arial"/>
          <w:b/>
          <w:sz w:val="26"/>
          <w:szCs w:val="26"/>
        </w:rPr>
      </w:pPr>
    </w:p>
    <w:p w14:paraId="1273A2F3" w14:textId="138E9EB2" w:rsidR="00645EC7" w:rsidRPr="0058231C" w:rsidRDefault="0058231C" w:rsidP="0058231C">
      <w:pPr>
        <w:spacing w:after="0" w:line="240" w:lineRule="auto"/>
        <w:ind w:left="2160" w:firstLine="720"/>
        <w:rPr>
          <w:rFonts w:asciiTheme="majorHAnsi" w:eastAsia="Calibri" w:hAnsiTheme="majorHAnsi" w:cs="Arial"/>
          <w:b/>
          <w:sz w:val="26"/>
          <w:szCs w:val="26"/>
        </w:rPr>
      </w:pPr>
      <w:r>
        <w:rPr>
          <w:rFonts w:asciiTheme="majorHAnsi" w:eastAsia="Calibri" w:hAnsiTheme="majorHAnsi" w:cs="Arial"/>
          <w:b/>
          <w:sz w:val="26"/>
          <w:szCs w:val="26"/>
        </w:rPr>
        <w:t xml:space="preserve">  </w:t>
      </w:r>
      <w:r w:rsidR="00645EC7" w:rsidRPr="0058231C">
        <w:rPr>
          <w:rFonts w:asciiTheme="majorHAnsi" w:eastAsia="Calibri" w:hAnsiTheme="majorHAnsi" w:cs="Arial"/>
          <w:b/>
          <w:sz w:val="26"/>
          <w:szCs w:val="26"/>
        </w:rPr>
        <w:t>RAPORT DE SPECIALITATE</w:t>
      </w:r>
    </w:p>
    <w:p w14:paraId="13D6AF0D" w14:textId="79CDE5E0" w:rsidR="009B43EC" w:rsidRPr="0058231C" w:rsidRDefault="00645EC7" w:rsidP="0058231C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  <w:r w:rsidRPr="0058231C">
        <w:rPr>
          <w:rFonts w:asciiTheme="majorHAnsi" w:hAnsiTheme="majorHAnsi" w:cs="Arial"/>
          <w:b/>
          <w:sz w:val="26"/>
          <w:szCs w:val="26"/>
        </w:rPr>
        <w:t xml:space="preserve">la </w:t>
      </w:r>
      <w:r w:rsidRPr="0058231C">
        <w:rPr>
          <w:rFonts w:asciiTheme="majorHAnsi" w:hAnsiTheme="majorHAnsi" w:cs="Arial"/>
          <w:b/>
          <w:bCs/>
          <w:sz w:val="26"/>
          <w:szCs w:val="26"/>
        </w:rPr>
        <w:t xml:space="preserve">Proiectul de hotărâre </w:t>
      </w:r>
      <w:r w:rsidR="009B43EC" w:rsidRPr="0058231C">
        <w:rPr>
          <w:rFonts w:asciiTheme="majorHAnsi" w:hAnsiTheme="majorHAnsi" w:cs="Arial"/>
          <w:b/>
          <w:sz w:val="26"/>
          <w:szCs w:val="26"/>
        </w:rPr>
        <w:t xml:space="preserve">privind stabilirea modalităţii gestiunii pentru activitatea de sortare din cadrul serviciul public de salubrizare a  </w:t>
      </w:r>
      <w:r w:rsidR="00EC63D2" w:rsidRPr="0058231C">
        <w:rPr>
          <w:rFonts w:asciiTheme="majorHAnsi" w:hAnsiTheme="majorHAnsi" w:cs="Arial"/>
          <w:b/>
          <w:sz w:val="26"/>
          <w:szCs w:val="26"/>
        </w:rPr>
        <w:t>Comunei</w:t>
      </w:r>
      <w:r w:rsidR="009B43EC" w:rsidRPr="0058231C">
        <w:rPr>
          <w:rFonts w:asciiTheme="majorHAnsi" w:hAnsiTheme="majorHAnsi" w:cs="Arial"/>
          <w:b/>
          <w:sz w:val="26"/>
          <w:szCs w:val="26"/>
        </w:rPr>
        <w:t xml:space="preserve"> </w:t>
      </w:r>
      <w:r w:rsidR="00EC63D2" w:rsidRPr="0058231C">
        <w:rPr>
          <w:rFonts w:asciiTheme="majorHAnsi" w:hAnsiTheme="majorHAnsi" w:cs="Arial"/>
          <w:b/>
          <w:sz w:val="26"/>
          <w:szCs w:val="26"/>
        </w:rPr>
        <w:t>Agriș</w:t>
      </w:r>
    </w:p>
    <w:p w14:paraId="7A0C5221" w14:textId="77777777" w:rsidR="003E070A" w:rsidRPr="0058231C" w:rsidRDefault="003E070A" w:rsidP="0058231C">
      <w:pPr>
        <w:pStyle w:val="NoSpacing"/>
        <w:spacing w:line="360" w:lineRule="auto"/>
        <w:rPr>
          <w:rFonts w:asciiTheme="majorHAnsi" w:hAnsiTheme="majorHAnsi" w:cs="Arial"/>
          <w:b/>
          <w:sz w:val="26"/>
          <w:szCs w:val="26"/>
        </w:rPr>
      </w:pPr>
    </w:p>
    <w:p w14:paraId="1DF3E7D7" w14:textId="77777777" w:rsidR="003E070A" w:rsidRPr="0058231C" w:rsidRDefault="003E070A" w:rsidP="003E070A">
      <w:pPr>
        <w:spacing w:after="0" w:line="360" w:lineRule="auto"/>
        <w:ind w:firstLine="706"/>
        <w:jc w:val="both"/>
        <w:rPr>
          <w:rFonts w:asciiTheme="majorHAnsi" w:eastAsia="Times New Roman" w:hAnsiTheme="majorHAnsi"/>
          <w:b/>
          <w:i/>
          <w:sz w:val="26"/>
          <w:szCs w:val="26"/>
          <w:lang w:val="fr-FR"/>
        </w:rPr>
      </w:pPr>
      <w:r w:rsidRPr="0058231C">
        <w:rPr>
          <w:rFonts w:asciiTheme="majorHAnsi" w:eastAsia="Times New Roman" w:hAnsiTheme="majorHAnsi" w:cs="Arial"/>
          <w:sz w:val="26"/>
          <w:szCs w:val="26"/>
        </w:rPr>
        <w:t xml:space="preserve">Potrivit prevederilor art.22 alin.(1) din Legea nr.51/2006 a serviciilor comunitare de utilităţi publice, republicată, cu modificările și completările ulterioare, </w:t>
      </w:r>
      <w:r w:rsidRPr="0058231C">
        <w:rPr>
          <w:rFonts w:asciiTheme="majorHAnsi" w:eastAsia="Times New Roman" w:hAnsiTheme="majorHAnsi" w:cs="Arial"/>
          <w:i/>
          <w:sz w:val="26"/>
          <w:szCs w:val="26"/>
        </w:rPr>
        <w:t xml:space="preserve">,,Autorităţile administraţiei publice locale sunt libere să hotărască asupra modalităţii de gestiune a serviciilor de utilităţi publice aflate sub responsabilitatea lor.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Autorităţile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administraţiei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publice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au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posibilitatea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</w:t>
      </w:r>
      <w:r w:rsidRPr="0058231C">
        <w:rPr>
          <w:rFonts w:asciiTheme="majorHAnsi" w:eastAsia="Times New Roman" w:hAnsiTheme="majorHAnsi" w:cs="Arial"/>
          <w:b/>
          <w:i/>
          <w:sz w:val="26"/>
          <w:szCs w:val="26"/>
          <w:lang w:val="fr-FR"/>
        </w:rPr>
        <w:t xml:space="preserve">de a </w:t>
      </w:r>
      <w:proofErr w:type="spellStart"/>
      <w:r w:rsidRPr="0058231C">
        <w:rPr>
          <w:rFonts w:asciiTheme="majorHAnsi" w:eastAsia="Times New Roman" w:hAnsiTheme="majorHAnsi" w:cs="Arial"/>
          <w:b/>
          <w:i/>
          <w:sz w:val="26"/>
          <w:szCs w:val="26"/>
          <w:lang w:val="fr-FR"/>
        </w:rPr>
        <w:t>gestiona</w:t>
      </w:r>
      <w:proofErr w:type="spellEnd"/>
      <w:r w:rsidRPr="0058231C">
        <w:rPr>
          <w:rFonts w:asciiTheme="majorHAnsi" w:eastAsia="Times New Roman" w:hAnsiTheme="majorHAnsi" w:cs="Arial"/>
          <w:b/>
          <w:i/>
          <w:sz w:val="26"/>
          <w:szCs w:val="26"/>
          <w:lang w:val="fr-FR"/>
        </w:rPr>
        <w:t xml:space="preserve"> </w:t>
      </w:r>
      <w:proofErr w:type="spellStart"/>
      <w:r w:rsidRPr="0058231C">
        <w:rPr>
          <w:rFonts w:asciiTheme="majorHAnsi" w:eastAsia="Times New Roman" w:hAnsiTheme="majorHAnsi" w:cs="Arial"/>
          <w:b/>
          <w:i/>
          <w:sz w:val="26"/>
          <w:szCs w:val="26"/>
          <w:lang w:val="fr-FR"/>
        </w:rPr>
        <w:t>în</w:t>
      </w:r>
      <w:proofErr w:type="spellEnd"/>
      <w:r w:rsidRPr="0058231C">
        <w:rPr>
          <w:rFonts w:asciiTheme="majorHAnsi" w:eastAsia="Times New Roman" w:hAnsiTheme="majorHAnsi" w:cs="Arial"/>
          <w:b/>
          <w:i/>
          <w:sz w:val="26"/>
          <w:szCs w:val="26"/>
          <w:lang w:val="fr-FR"/>
        </w:rPr>
        <w:t xml:space="preserve"> </w:t>
      </w:r>
      <w:proofErr w:type="spellStart"/>
      <w:r w:rsidRPr="0058231C">
        <w:rPr>
          <w:rFonts w:asciiTheme="majorHAnsi" w:eastAsia="Times New Roman" w:hAnsiTheme="majorHAnsi" w:cs="Arial"/>
          <w:b/>
          <w:i/>
          <w:sz w:val="26"/>
          <w:szCs w:val="26"/>
          <w:lang w:val="fr-FR"/>
        </w:rPr>
        <w:t>mod</w:t>
      </w:r>
      <w:proofErr w:type="spellEnd"/>
      <w:r w:rsidRPr="0058231C">
        <w:rPr>
          <w:rFonts w:asciiTheme="majorHAnsi" w:eastAsia="Times New Roman" w:hAnsiTheme="majorHAnsi" w:cs="Arial"/>
          <w:b/>
          <w:i/>
          <w:sz w:val="26"/>
          <w:szCs w:val="26"/>
          <w:lang w:val="fr-FR"/>
        </w:rPr>
        <w:t xml:space="preserve"> direct</w:t>
      </w:r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serviciile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de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utilităţi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publice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în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baza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unei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hotărâri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de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dare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în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administrare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</w:t>
      </w:r>
      <w:proofErr w:type="spellStart"/>
      <w:r w:rsidRPr="0058231C">
        <w:rPr>
          <w:rFonts w:asciiTheme="majorHAnsi" w:eastAsia="Times New Roman" w:hAnsiTheme="majorHAnsi" w:cs="Arial"/>
          <w:b/>
          <w:i/>
          <w:sz w:val="26"/>
          <w:szCs w:val="26"/>
          <w:lang w:val="fr-FR"/>
        </w:rPr>
        <w:t>sau</w:t>
      </w:r>
      <w:proofErr w:type="spellEnd"/>
      <w:r w:rsidRPr="0058231C">
        <w:rPr>
          <w:rFonts w:asciiTheme="majorHAnsi" w:eastAsia="Times New Roman" w:hAnsiTheme="majorHAnsi" w:cs="Arial"/>
          <w:b/>
          <w:i/>
          <w:sz w:val="26"/>
          <w:szCs w:val="26"/>
          <w:lang w:val="fr-FR"/>
        </w:rPr>
        <w:t xml:space="preserve"> de a </w:t>
      </w:r>
      <w:proofErr w:type="spellStart"/>
      <w:r w:rsidRPr="0058231C">
        <w:rPr>
          <w:rFonts w:asciiTheme="majorHAnsi" w:eastAsia="Times New Roman" w:hAnsiTheme="majorHAnsi" w:cs="Arial"/>
          <w:b/>
          <w:i/>
          <w:sz w:val="26"/>
          <w:szCs w:val="26"/>
          <w:lang w:val="fr-FR"/>
        </w:rPr>
        <w:t>încredinţa</w:t>
      </w:r>
      <w:proofErr w:type="spellEnd"/>
      <w:r w:rsidRPr="0058231C">
        <w:rPr>
          <w:rFonts w:asciiTheme="majorHAnsi" w:eastAsia="Times New Roman" w:hAnsiTheme="majorHAnsi" w:cs="Arial"/>
          <w:b/>
          <w:i/>
          <w:sz w:val="26"/>
          <w:szCs w:val="26"/>
          <w:lang w:val="fr-FR"/>
        </w:rPr>
        <w:t xml:space="preserve"> </w:t>
      </w:r>
      <w:proofErr w:type="spellStart"/>
      <w:r w:rsidRPr="0058231C">
        <w:rPr>
          <w:rFonts w:asciiTheme="majorHAnsi" w:eastAsia="Times New Roman" w:hAnsiTheme="majorHAnsi" w:cs="Arial"/>
          <w:b/>
          <w:i/>
          <w:sz w:val="26"/>
          <w:szCs w:val="26"/>
          <w:lang w:val="fr-FR"/>
        </w:rPr>
        <w:t>gestiunea</w:t>
      </w:r>
      <w:proofErr w:type="spellEnd"/>
      <w:r w:rsidRPr="0058231C">
        <w:rPr>
          <w:rFonts w:asciiTheme="majorHAnsi" w:eastAsia="Times New Roman" w:hAnsiTheme="majorHAnsi" w:cs="Arial"/>
          <w:b/>
          <w:i/>
          <w:sz w:val="26"/>
          <w:szCs w:val="26"/>
          <w:lang w:val="fr-FR"/>
        </w:rPr>
        <w:t xml:space="preserve"> </w:t>
      </w:r>
      <w:proofErr w:type="spellStart"/>
      <w:r w:rsidRPr="0058231C">
        <w:rPr>
          <w:rFonts w:asciiTheme="majorHAnsi" w:eastAsia="Times New Roman" w:hAnsiTheme="majorHAnsi" w:cs="Arial"/>
          <w:b/>
          <w:i/>
          <w:sz w:val="26"/>
          <w:szCs w:val="26"/>
          <w:lang w:val="fr-FR"/>
        </w:rPr>
        <w:t>acestora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,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respectiv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toate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ori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numai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o parte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din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competenţele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şi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responsabilităţile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proprii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privind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furnizarea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/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prestarea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unui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serviciu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de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utilităţi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publice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ori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a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uneia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sau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mai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multor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activităţi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din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sfera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respectivului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serviciu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de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utilităţi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publice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,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în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baza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unui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</w:t>
      </w:r>
      <w:proofErr w:type="spellStart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>contract</w:t>
      </w:r>
      <w:proofErr w:type="spellEnd"/>
      <w:r w:rsidRPr="0058231C">
        <w:rPr>
          <w:rFonts w:asciiTheme="majorHAnsi" w:eastAsia="Times New Roman" w:hAnsiTheme="majorHAnsi" w:cs="Arial"/>
          <w:i/>
          <w:sz w:val="26"/>
          <w:szCs w:val="26"/>
          <w:lang w:val="fr-FR"/>
        </w:rPr>
        <w:t xml:space="preserve"> de </w:t>
      </w:r>
      <w:proofErr w:type="spellStart"/>
      <w:r w:rsidRPr="0058231C">
        <w:rPr>
          <w:rFonts w:asciiTheme="majorHAnsi" w:eastAsia="Times New Roman" w:hAnsiTheme="majorHAnsi"/>
          <w:i/>
          <w:sz w:val="26"/>
          <w:szCs w:val="26"/>
          <w:lang w:val="fr-FR"/>
        </w:rPr>
        <w:t>delegare</w:t>
      </w:r>
      <w:proofErr w:type="spellEnd"/>
      <w:r w:rsidRPr="0058231C">
        <w:rPr>
          <w:rFonts w:asciiTheme="majorHAnsi" w:eastAsia="Times New Roman" w:hAnsiTheme="majorHAnsi"/>
          <w:i/>
          <w:sz w:val="26"/>
          <w:szCs w:val="26"/>
          <w:lang w:val="fr-FR"/>
        </w:rPr>
        <w:t xml:space="preserve"> a </w:t>
      </w:r>
      <w:proofErr w:type="spellStart"/>
      <w:r w:rsidRPr="0058231C">
        <w:rPr>
          <w:rFonts w:asciiTheme="majorHAnsi" w:eastAsia="Times New Roman" w:hAnsiTheme="majorHAnsi"/>
          <w:i/>
          <w:sz w:val="26"/>
          <w:szCs w:val="26"/>
          <w:lang w:val="fr-FR"/>
        </w:rPr>
        <w:t>gestiunii</w:t>
      </w:r>
      <w:proofErr w:type="spellEnd"/>
      <w:r w:rsidRPr="0058231C">
        <w:rPr>
          <w:rFonts w:asciiTheme="majorHAnsi" w:eastAsia="Times New Roman" w:hAnsiTheme="majorHAnsi"/>
          <w:i/>
          <w:sz w:val="26"/>
          <w:szCs w:val="26"/>
          <w:lang w:val="fr-FR"/>
        </w:rPr>
        <w:t>.</w:t>
      </w:r>
      <w:r w:rsidRPr="0058231C">
        <w:rPr>
          <w:rFonts w:asciiTheme="majorHAnsi" w:eastAsia="Times New Roman" w:hAnsiTheme="majorHAnsi"/>
          <w:b/>
          <w:i/>
          <w:sz w:val="26"/>
          <w:szCs w:val="26"/>
          <w:lang w:val="fr-FR"/>
        </w:rPr>
        <w:t xml:space="preserve"> ”</w:t>
      </w:r>
    </w:p>
    <w:p w14:paraId="190F8AA2" w14:textId="77777777" w:rsidR="00645EC7" w:rsidRPr="0058231C" w:rsidRDefault="00645EC7" w:rsidP="00645EC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eastAsia="Calibri" w:hAnsiTheme="majorHAnsi" w:cs="Arial"/>
          <w:b/>
          <w:i/>
          <w:sz w:val="26"/>
          <w:szCs w:val="26"/>
          <w:lang w:eastAsia="ro-RO"/>
        </w:rPr>
      </w:pPr>
      <w:r w:rsidRPr="0058231C">
        <w:rPr>
          <w:rFonts w:asciiTheme="majorHAnsi" w:eastAsia="Calibri" w:hAnsiTheme="majorHAnsi" w:cs="Arial"/>
          <w:sz w:val="26"/>
          <w:szCs w:val="26"/>
        </w:rPr>
        <w:t xml:space="preserve">În conformitate cu prevederile art.22 alin.(3) din Legea nr.51/2006 a serviciilor comunitare de utilităţi publice, cu modificările şi completările ulterioare,   </w:t>
      </w:r>
      <w:r w:rsidRPr="0058231C">
        <w:rPr>
          <w:rFonts w:asciiTheme="majorHAnsi" w:eastAsia="Calibri" w:hAnsiTheme="majorHAnsi" w:cs="Arial"/>
          <w:b/>
          <w:sz w:val="26"/>
          <w:szCs w:val="26"/>
        </w:rPr>
        <w:t>,,</w:t>
      </w:r>
      <w:r w:rsidRPr="0058231C">
        <w:rPr>
          <w:rFonts w:asciiTheme="majorHAnsi" w:eastAsia="Calibri" w:hAnsiTheme="majorHAnsi" w:cs="Arial"/>
          <w:b/>
          <w:i/>
          <w:sz w:val="26"/>
          <w:szCs w:val="26"/>
          <w:lang w:eastAsia="ro-RO"/>
        </w:rPr>
        <w:t>Modalitatea de gestiune a serviciilor de utilităţi publice se stabileşte prin hotărâri ale autorităţilor deliberative ale unităţilor administrativ-teritoriale, în baza unui studiu de oportunitate, în funcţie de natura şi starea serviciului, de necesitatea asigurării celui mai bun raport preţ/calitate, de interesele actuale şi de perspectivă ale unităţilor administrativ-teritoriale, precum şi de mărimea şi complexitatea sistemelor de utilităţi publice”.</w:t>
      </w:r>
    </w:p>
    <w:p w14:paraId="044627A6" w14:textId="362AF007" w:rsidR="00645EC7" w:rsidRPr="0058231C" w:rsidRDefault="00645EC7" w:rsidP="00645EC7">
      <w:pPr>
        <w:spacing w:after="0" w:line="360" w:lineRule="auto"/>
        <w:jc w:val="both"/>
        <w:rPr>
          <w:rFonts w:asciiTheme="majorHAnsi" w:eastAsia="Calibri" w:hAnsiTheme="majorHAnsi" w:cs="Arial"/>
          <w:sz w:val="26"/>
          <w:szCs w:val="26"/>
        </w:rPr>
      </w:pPr>
      <w:r w:rsidRPr="0058231C">
        <w:rPr>
          <w:rFonts w:asciiTheme="majorHAnsi" w:eastAsia="Calibri" w:hAnsiTheme="majorHAnsi" w:cs="Arial"/>
          <w:sz w:val="26"/>
          <w:szCs w:val="26"/>
        </w:rPr>
        <w:lastRenderedPageBreak/>
        <w:tab/>
        <w:t xml:space="preserve">Luând în considerare prevederile </w:t>
      </w:r>
      <w:r w:rsidR="00100E4B" w:rsidRPr="0058231C">
        <w:rPr>
          <w:rFonts w:asciiTheme="majorHAnsi" w:hAnsiTheme="majorHAnsi" w:cs="Arial"/>
          <w:sz w:val="26"/>
          <w:szCs w:val="26"/>
        </w:rPr>
        <w:t>art.22 alin.(1), alin.(2) lit.b), alin.(3) şi art.29  din Legea nr.51/2006 a serviciilor comunitare de utilităţi publice, cu modificările şi completările ulterioare și ale art.2 alin.(1), alin.(2) și alin.3 lit.d), art.12 alin.(1) lit.b), alin.(2</w:t>
      </w:r>
      <w:r w:rsidR="005A6706" w:rsidRPr="0058231C">
        <w:rPr>
          <w:rFonts w:asciiTheme="majorHAnsi" w:hAnsiTheme="majorHAnsi" w:cs="Arial"/>
          <w:sz w:val="26"/>
          <w:szCs w:val="26"/>
        </w:rPr>
        <w:t xml:space="preserve">), art.14 alin.(1), alin.(2), art.18 și art.19 </w:t>
      </w:r>
      <w:r w:rsidR="00100E4B" w:rsidRPr="0058231C">
        <w:rPr>
          <w:rFonts w:asciiTheme="majorHAnsi" w:hAnsiTheme="majorHAnsi" w:cs="Arial"/>
          <w:sz w:val="26"/>
          <w:szCs w:val="26"/>
        </w:rPr>
        <w:t>din Legea nr.101/2006 a serviciului de salubrizare a localităţilor, cu modificările şi completările ulterioare</w:t>
      </w:r>
      <w:r w:rsidR="00F85874" w:rsidRPr="0058231C">
        <w:rPr>
          <w:rFonts w:asciiTheme="majorHAnsi" w:eastAsia="Calibri" w:hAnsiTheme="majorHAnsi" w:cs="Arial"/>
          <w:sz w:val="26"/>
          <w:szCs w:val="26"/>
        </w:rPr>
        <w:t xml:space="preserve"> și ale </w:t>
      </w:r>
      <w:r w:rsidRPr="0058231C">
        <w:rPr>
          <w:rFonts w:asciiTheme="majorHAnsi" w:eastAsia="Calibri" w:hAnsiTheme="majorHAnsi" w:cs="Arial"/>
          <w:sz w:val="26"/>
          <w:szCs w:val="26"/>
        </w:rPr>
        <w:t>art.129 alin.(1), alin.(2) lit.d) coroborate cu cele ale alin.(7) lit.n), art.136 alin.(1), alin.(2) și alin.(3) și art.139 alin.(1) din OUG nr.57/2019 privind Codul administrativ;</w:t>
      </w:r>
    </w:p>
    <w:p w14:paraId="126BAC2A" w14:textId="778E2C32" w:rsidR="00645EC7" w:rsidRPr="0058231C" w:rsidRDefault="00645EC7" w:rsidP="00645EC7">
      <w:pPr>
        <w:tabs>
          <w:tab w:val="left" w:pos="709"/>
        </w:tabs>
        <w:spacing w:line="360" w:lineRule="auto"/>
        <w:ind w:right="-23"/>
        <w:jc w:val="both"/>
        <w:rPr>
          <w:rFonts w:asciiTheme="majorHAnsi" w:eastAsia="Calibri" w:hAnsiTheme="majorHAnsi" w:cs="Arial"/>
          <w:b/>
          <w:sz w:val="26"/>
          <w:szCs w:val="26"/>
        </w:rPr>
      </w:pPr>
      <w:r w:rsidRPr="0058231C">
        <w:rPr>
          <w:rFonts w:asciiTheme="majorHAnsi" w:eastAsia="Calibri" w:hAnsiTheme="majorHAnsi" w:cs="Arial"/>
          <w:sz w:val="26"/>
          <w:szCs w:val="26"/>
        </w:rPr>
        <w:tab/>
      </w:r>
      <w:r w:rsidR="0058231C">
        <w:rPr>
          <w:rFonts w:asciiTheme="majorHAnsi" w:eastAsia="Calibri" w:hAnsiTheme="majorHAnsi" w:cs="Arial"/>
          <w:sz w:val="26"/>
          <w:szCs w:val="26"/>
        </w:rPr>
        <w:t xml:space="preserve"> </w:t>
      </w:r>
      <w:r w:rsidRPr="0058231C">
        <w:rPr>
          <w:rFonts w:asciiTheme="majorHAnsi" w:eastAsia="Calibri" w:hAnsiTheme="majorHAnsi" w:cs="Arial"/>
          <w:sz w:val="26"/>
          <w:szCs w:val="26"/>
        </w:rPr>
        <w:t>În temeiul prevederilor art.136 alin.(8) lit.b) din OUG nr.57/2019 privind Codul administrativ,</w:t>
      </w:r>
    </w:p>
    <w:p w14:paraId="47B88077" w14:textId="77777777" w:rsidR="00645EC7" w:rsidRPr="0058231C" w:rsidRDefault="00645EC7" w:rsidP="00645EC7">
      <w:pPr>
        <w:spacing w:line="360" w:lineRule="auto"/>
        <w:jc w:val="center"/>
        <w:rPr>
          <w:rFonts w:asciiTheme="majorHAnsi" w:eastAsia="Calibri" w:hAnsiTheme="majorHAnsi" w:cs="Arial"/>
          <w:b/>
          <w:sz w:val="26"/>
          <w:szCs w:val="26"/>
        </w:rPr>
      </w:pPr>
      <w:r w:rsidRPr="0058231C">
        <w:rPr>
          <w:rFonts w:asciiTheme="majorHAnsi" w:eastAsia="Calibri" w:hAnsiTheme="majorHAnsi" w:cs="Arial"/>
          <w:b/>
          <w:sz w:val="26"/>
          <w:szCs w:val="26"/>
        </w:rPr>
        <w:t>PROPUNEM:</w:t>
      </w:r>
    </w:p>
    <w:p w14:paraId="0A985B29" w14:textId="616ABDC9" w:rsidR="00645EC7" w:rsidRPr="0058231C" w:rsidRDefault="00645EC7" w:rsidP="0058231C">
      <w:pPr>
        <w:pStyle w:val="NoSpacing"/>
        <w:spacing w:line="360" w:lineRule="auto"/>
        <w:jc w:val="center"/>
        <w:rPr>
          <w:rFonts w:asciiTheme="majorHAnsi" w:hAnsiTheme="majorHAnsi" w:cs="Arial"/>
          <w:b/>
          <w:sz w:val="26"/>
          <w:szCs w:val="26"/>
        </w:rPr>
      </w:pPr>
      <w:r w:rsidRPr="0058231C">
        <w:rPr>
          <w:rFonts w:asciiTheme="majorHAnsi" w:hAnsiTheme="majorHAnsi" w:cs="Arial"/>
          <w:b/>
          <w:bCs/>
          <w:sz w:val="26"/>
          <w:szCs w:val="26"/>
        </w:rPr>
        <w:t xml:space="preserve">Adoptarea Proiectului de hotărâre </w:t>
      </w:r>
      <w:r w:rsidR="009B43EC" w:rsidRPr="0058231C">
        <w:rPr>
          <w:rFonts w:asciiTheme="majorHAnsi" w:hAnsiTheme="majorHAnsi" w:cs="Arial"/>
          <w:b/>
          <w:sz w:val="26"/>
          <w:szCs w:val="26"/>
        </w:rPr>
        <w:t xml:space="preserve">privind stabilirea modalităţii gestiunii pentru activitatea de sortare din cadrul serviciul public de salubrizare a  </w:t>
      </w:r>
      <w:r w:rsidR="00EC63D2" w:rsidRPr="0058231C">
        <w:rPr>
          <w:rFonts w:asciiTheme="majorHAnsi" w:hAnsiTheme="majorHAnsi" w:cs="Arial"/>
          <w:b/>
          <w:sz w:val="26"/>
          <w:szCs w:val="26"/>
        </w:rPr>
        <w:t>Comunei</w:t>
      </w:r>
      <w:r w:rsidR="009B43EC" w:rsidRPr="0058231C">
        <w:rPr>
          <w:rFonts w:asciiTheme="majorHAnsi" w:hAnsiTheme="majorHAnsi" w:cs="Arial"/>
          <w:b/>
          <w:sz w:val="26"/>
          <w:szCs w:val="26"/>
        </w:rPr>
        <w:t xml:space="preserve"> </w:t>
      </w:r>
      <w:r w:rsidR="00EC63D2" w:rsidRPr="0058231C">
        <w:rPr>
          <w:rFonts w:asciiTheme="majorHAnsi" w:hAnsiTheme="majorHAnsi" w:cs="Arial"/>
          <w:b/>
          <w:sz w:val="26"/>
          <w:szCs w:val="26"/>
        </w:rPr>
        <w:t>Agriș</w:t>
      </w:r>
      <w:bookmarkStart w:id="0" w:name="_GoBack"/>
      <w:bookmarkEnd w:id="0"/>
    </w:p>
    <w:p w14:paraId="2F749100" w14:textId="77777777" w:rsidR="00100E4B" w:rsidRPr="0058231C" w:rsidRDefault="00100E4B" w:rsidP="00645EC7">
      <w:pPr>
        <w:spacing w:after="0" w:line="360" w:lineRule="auto"/>
        <w:jc w:val="center"/>
        <w:rPr>
          <w:rFonts w:asciiTheme="majorHAnsi" w:eastAsia="Calibri" w:hAnsiTheme="majorHAnsi" w:cs="Arial"/>
          <w:sz w:val="26"/>
          <w:szCs w:val="26"/>
        </w:rPr>
      </w:pPr>
    </w:p>
    <w:p w14:paraId="11EDE8B9" w14:textId="4DE96BB2" w:rsidR="00645EC7" w:rsidRPr="0058231C" w:rsidRDefault="0058231C" w:rsidP="00645EC7">
      <w:pPr>
        <w:spacing w:line="360" w:lineRule="auto"/>
        <w:jc w:val="center"/>
        <w:rPr>
          <w:rFonts w:asciiTheme="majorHAnsi" w:eastAsia="Calibri" w:hAnsiTheme="majorHAnsi" w:cs="Arial"/>
          <w:b/>
          <w:sz w:val="26"/>
          <w:szCs w:val="26"/>
        </w:rPr>
      </w:pPr>
      <w:r w:rsidRPr="0058231C">
        <w:rPr>
          <w:rFonts w:asciiTheme="majorHAnsi" w:eastAsia="Calibri" w:hAnsiTheme="majorHAnsi" w:cs="Arial"/>
          <w:b/>
          <w:sz w:val="26"/>
          <w:szCs w:val="26"/>
        </w:rPr>
        <w:t>Consilier</w:t>
      </w:r>
    </w:p>
    <w:p w14:paraId="6F05B6DA" w14:textId="4A2A59D6" w:rsidR="00645EC7" w:rsidRPr="0058231C" w:rsidRDefault="0058231C" w:rsidP="00645EC7">
      <w:pPr>
        <w:jc w:val="center"/>
        <w:rPr>
          <w:rFonts w:asciiTheme="majorHAnsi" w:eastAsia="Calibri" w:hAnsiTheme="majorHAnsi" w:cs="Arial"/>
          <w:sz w:val="26"/>
          <w:szCs w:val="26"/>
        </w:rPr>
      </w:pPr>
      <w:r w:rsidRPr="0058231C">
        <w:rPr>
          <w:rFonts w:asciiTheme="majorHAnsi" w:eastAsia="Calibri" w:hAnsiTheme="majorHAnsi" w:cs="Arial"/>
          <w:b/>
          <w:sz w:val="26"/>
          <w:szCs w:val="26"/>
        </w:rPr>
        <w:t>Papp Andras-Mozes.</w:t>
      </w:r>
    </w:p>
    <w:p w14:paraId="4944CB7F" w14:textId="77777777" w:rsidR="0033016A" w:rsidRDefault="0033016A"/>
    <w:sectPr w:rsidR="0033016A" w:rsidSect="003C359C">
      <w:footerReference w:type="default" r:id="rId7"/>
      <w:pgSz w:w="11906" w:h="16838"/>
      <w:pgMar w:top="851" w:right="992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9750E" w14:textId="77777777" w:rsidR="004B78B7" w:rsidRDefault="004B78B7">
      <w:pPr>
        <w:spacing w:after="0" w:line="240" w:lineRule="auto"/>
      </w:pPr>
      <w:r>
        <w:separator/>
      </w:r>
    </w:p>
  </w:endnote>
  <w:endnote w:type="continuationSeparator" w:id="0">
    <w:p w14:paraId="39232C2D" w14:textId="77777777" w:rsidR="004B78B7" w:rsidRDefault="004B7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241CD" w14:textId="77777777" w:rsidR="003E6BEE" w:rsidRDefault="00645E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231C">
      <w:rPr>
        <w:noProof/>
      </w:rPr>
      <w:t>1</w:t>
    </w:r>
    <w:r>
      <w:fldChar w:fldCharType="end"/>
    </w:r>
  </w:p>
  <w:p w14:paraId="32435A79" w14:textId="77777777" w:rsidR="003E6BEE" w:rsidRDefault="003E6B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6DAE3" w14:textId="77777777" w:rsidR="004B78B7" w:rsidRDefault="004B78B7">
      <w:pPr>
        <w:spacing w:after="0" w:line="240" w:lineRule="auto"/>
      </w:pPr>
      <w:r>
        <w:separator/>
      </w:r>
    </w:p>
  </w:footnote>
  <w:footnote w:type="continuationSeparator" w:id="0">
    <w:p w14:paraId="50E982BF" w14:textId="77777777" w:rsidR="004B78B7" w:rsidRDefault="004B78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C7"/>
    <w:rsid w:val="00006C47"/>
    <w:rsid w:val="0008259E"/>
    <w:rsid w:val="000E71F1"/>
    <w:rsid w:val="00100E4B"/>
    <w:rsid w:val="0012614E"/>
    <w:rsid w:val="001403A7"/>
    <w:rsid w:val="001A010F"/>
    <w:rsid w:val="001B0D83"/>
    <w:rsid w:val="001B6324"/>
    <w:rsid w:val="002A2F40"/>
    <w:rsid w:val="00321910"/>
    <w:rsid w:val="0033016A"/>
    <w:rsid w:val="0037160D"/>
    <w:rsid w:val="003A271C"/>
    <w:rsid w:val="003C359C"/>
    <w:rsid w:val="003E070A"/>
    <w:rsid w:val="003E6BEE"/>
    <w:rsid w:val="00447554"/>
    <w:rsid w:val="004B78B7"/>
    <w:rsid w:val="004F30C2"/>
    <w:rsid w:val="00507C04"/>
    <w:rsid w:val="00537430"/>
    <w:rsid w:val="0058231C"/>
    <w:rsid w:val="005A6706"/>
    <w:rsid w:val="00626AF6"/>
    <w:rsid w:val="00645EC7"/>
    <w:rsid w:val="0066754D"/>
    <w:rsid w:val="00692524"/>
    <w:rsid w:val="00725F5B"/>
    <w:rsid w:val="00745FFB"/>
    <w:rsid w:val="007A3EE0"/>
    <w:rsid w:val="007C59C7"/>
    <w:rsid w:val="008105EC"/>
    <w:rsid w:val="00847696"/>
    <w:rsid w:val="00871F23"/>
    <w:rsid w:val="00894ED0"/>
    <w:rsid w:val="008F7D60"/>
    <w:rsid w:val="009B43EC"/>
    <w:rsid w:val="009F5A50"/>
    <w:rsid w:val="00A83A9B"/>
    <w:rsid w:val="00B04080"/>
    <w:rsid w:val="00B53BD3"/>
    <w:rsid w:val="00BD1F9D"/>
    <w:rsid w:val="00BD4CF1"/>
    <w:rsid w:val="00C613DE"/>
    <w:rsid w:val="00C74BD3"/>
    <w:rsid w:val="00C84438"/>
    <w:rsid w:val="00DA575E"/>
    <w:rsid w:val="00DC10BD"/>
    <w:rsid w:val="00DF0016"/>
    <w:rsid w:val="00E714C6"/>
    <w:rsid w:val="00EC63D2"/>
    <w:rsid w:val="00F303D6"/>
    <w:rsid w:val="00F72053"/>
    <w:rsid w:val="00F8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803C2"/>
  <w15:docId w15:val="{B8430D24-53D8-4D76-A5B7-D02EA5DC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45EC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45EC7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9B43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6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Adm</cp:lastModifiedBy>
  <cp:revision>5</cp:revision>
  <dcterms:created xsi:type="dcterms:W3CDTF">2025-06-12T13:13:00Z</dcterms:created>
  <dcterms:modified xsi:type="dcterms:W3CDTF">2025-06-20T07:37:00Z</dcterms:modified>
</cp:coreProperties>
</file>